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870E" w14:textId="72A26E17" w:rsidR="00917A56" w:rsidRPr="008A501B" w:rsidRDefault="00917A56" w:rsidP="00A05A93">
      <w:pPr>
        <w:spacing w:after="375"/>
        <w:jc w:val="center"/>
        <w:outlineLvl w:val="0"/>
        <w:rPr>
          <w:rFonts w:ascii="Arial" w:eastAsia="Times New Roman" w:hAnsi="Arial" w:cs="Arial"/>
          <w:b/>
          <w:bCs/>
          <w:color w:val="202123"/>
          <w:kern w:val="36"/>
          <w:lang w:eastAsia="en-GB"/>
        </w:rPr>
      </w:pPr>
      <w:bookmarkStart w:id="0" w:name="_Hlk102648100"/>
      <w:r w:rsidRPr="008A501B">
        <w:rPr>
          <w:rFonts w:ascii="Arial" w:eastAsia="Times New Roman" w:hAnsi="Arial" w:cs="Arial"/>
          <w:b/>
          <w:bCs/>
          <w:color w:val="202123"/>
          <w:kern w:val="36"/>
          <w:lang w:eastAsia="en-GB"/>
        </w:rPr>
        <w:t xml:space="preserve">Modern </w:t>
      </w:r>
      <w:r>
        <w:rPr>
          <w:rFonts w:ascii="Arial" w:eastAsia="Times New Roman" w:hAnsi="Arial" w:cs="Arial"/>
          <w:b/>
          <w:bCs/>
          <w:color w:val="202123"/>
          <w:kern w:val="36"/>
          <w:lang w:eastAsia="en-GB"/>
        </w:rPr>
        <w:t>S</w:t>
      </w:r>
      <w:r w:rsidRPr="008A501B">
        <w:rPr>
          <w:rFonts w:ascii="Arial" w:eastAsia="Times New Roman" w:hAnsi="Arial" w:cs="Arial"/>
          <w:b/>
          <w:bCs/>
          <w:color w:val="202123"/>
          <w:kern w:val="36"/>
          <w:lang w:eastAsia="en-GB"/>
        </w:rPr>
        <w:t>lavery</w:t>
      </w:r>
      <w:r>
        <w:rPr>
          <w:rFonts w:ascii="Arial" w:eastAsia="Times New Roman" w:hAnsi="Arial" w:cs="Arial"/>
          <w:b/>
          <w:bCs/>
          <w:color w:val="202123"/>
          <w:kern w:val="36"/>
          <w:lang w:eastAsia="en-GB"/>
        </w:rPr>
        <w:t xml:space="preserve"> Statement</w:t>
      </w:r>
    </w:p>
    <w:p w14:paraId="45B50ABD" w14:textId="77777777" w:rsidR="00917A56" w:rsidRPr="008A501B" w:rsidRDefault="00917A56" w:rsidP="00917A56">
      <w:pPr>
        <w:spacing w:before="150" w:after="150" w:line="276" w:lineRule="auto"/>
        <w:outlineLvl w:val="3"/>
        <w:rPr>
          <w:rFonts w:ascii="Arial" w:eastAsia="Times New Roman" w:hAnsi="Arial" w:cs="Arial"/>
          <w:b/>
          <w:bCs/>
          <w:color w:val="1A1C20"/>
          <w:lang w:eastAsia="en-GB"/>
        </w:rPr>
      </w:pPr>
      <w:r w:rsidRPr="008A501B">
        <w:rPr>
          <w:rFonts w:ascii="Arial" w:eastAsia="Times New Roman" w:hAnsi="Arial" w:cs="Arial"/>
          <w:b/>
          <w:bCs/>
          <w:color w:val="1A1C20"/>
          <w:lang w:eastAsia="en-GB"/>
        </w:rPr>
        <w:t>Introduction</w:t>
      </w:r>
    </w:p>
    <w:p w14:paraId="4D69C8A7" w14:textId="77777777" w:rsidR="00917A56" w:rsidRDefault="00917A56" w:rsidP="00D531E4">
      <w:pPr>
        <w:spacing w:line="276" w:lineRule="auto"/>
        <w:jc w:val="both"/>
        <w:rPr>
          <w:rFonts w:ascii="Arial" w:eastAsia="Times New Roman" w:hAnsi="Arial" w:cs="Arial"/>
          <w:color w:val="1A1C20"/>
          <w:lang w:eastAsia="en-GB"/>
        </w:rPr>
      </w:pPr>
      <w:r w:rsidRPr="008A501B">
        <w:rPr>
          <w:rFonts w:ascii="Arial" w:eastAsia="Times New Roman" w:hAnsi="Arial" w:cs="Arial"/>
          <w:color w:val="1A1C20"/>
          <w:lang w:eastAsia="en-GB"/>
        </w:rPr>
        <w:t>Nacro is opposed to all forms of modern slavery and is committed to acting ethically and with integrity in all its business relationships. We take steps to ensure that adequate processes</w:t>
      </w:r>
      <w:r w:rsidRPr="008A501B">
        <w:rPr>
          <w:rFonts w:ascii="Arial" w:eastAsia="Times New Roman" w:hAnsi="Arial" w:cs="Arial"/>
          <w:color w:val="1A1C20"/>
          <w:lang w:eastAsia="en-GB"/>
        </w:rPr>
        <w:br/>
        <w:t>and controls are in place to ensure slavery and human trafficking is not taking place anywhere in our supply chains.</w:t>
      </w:r>
    </w:p>
    <w:p w14:paraId="6E43A042" w14:textId="77777777" w:rsidR="00917A56" w:rsidRPr="008A501B" w:rsidRDefault="00917A56" w:rsidP="00D531E4">
      <w:pPr>
        <w:spacing w:line="276" w:lineRule="auto"/>
        <w:jc w:val="both"/>
        <w:rPr>
          <w:rFonts w:ascii="Arial" w:eastAsia="Times New Roman" w:hAnsi="Arial" w:cs="Arial"/>
          <w:color w:val="1A1C20"/>
          <w:lang w:eastAsia="en-GB"/>
        </w:rPr>
      </w:pPr>
    </w:p>
    <w:p w14:paraId="3367EBE7" w14:textId="0F6F68AB"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color w:val="1A1C20"/>
          <w:lang w:eastAsia="en-GB"/>
        </w:rPr>
        <w:t>This statement is made pursuant to section 54 of the Modern Slavery Act 2015. It constitutes Nacro’s slavery and human trafficking statement for the financial year ended 31st March 202</w:t>
      </w:r>
      <w:r w:rsidR="00887237">
        <w:rPr>
          <w:rFonts w:ascii="Arial" w:eastAsia="Times New Roman" w:hAnsi="Arial" w:cs="Arial"/>
          <w:color w:val="1A1C20"/>
          <w:lang w:eastAsia="en-GB"/>
        </w:rPr>
        <w:t>3</w:t>
      </w:r>
      <w:r w:rsidRPr="008A501B">
        <w:rPr>
          <w:rFonts w:ascii="Arial" w:eastAsia="Times New Roman" w:hAnsi="Arial" w:cs="Arial"/>
          <w:color w:val="1A1C20"/>
          <w:lang w:eastAsia="en-GB"/>
        </w:rPr>
        <w:t>.</w:t>
      </w:r>
    </w:p>
    <w:p w14:paraId="34D1D45C" w14:textId="5B209EF8"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color w:val="1A1C20"/>
          <w:lang w:eastAsia="en-GB"/>
        </w:rPr>
        <w:t xml:space="preserve">Nacro is a registered charity providing a range of services including accommodation and support to vulnerable people; education and skills training to young people outside of mainstream schooling; and help to people in custody to integrate back into society across England and Wales. We employ </w:t>
      </w:r>
      <w:r>
        <w:rPr>
          <w:rFonts w:ascii="Arial" w:eastAsia="Times New Roman" w:hAnsi="Arial" w:cs="Arial"/>
          <w:color w:val="1A1C20"/>
          <w:lang w:eastAsia="en-GB"/>
        </w:rPr>
        <w:t xml:space="preserve">around </w:t>
      </w:r>
      <w:r w:rsidRPr="008A501B">
        <w:rPr>
          <w:rFonts w:ascii="Arial" w:eastAsia="Times New Roman" w:hAnsi="Arial" w:cs="Arial"/>
          <w:color w:val="1A1C20"/>
          <w:lang w:eastAsia="en-GB"/>
        </w:rPr>
        <w:t xml:space="preserve">900 </w:t>
      </w:r>
      <w:r w:rsidR="00D531E4">
        <w:rPr>
          <w:rFonts w:ascii="Arial" w:eastAsia="Times New Roman" w:hAnsi="Arial" w:cs="Arial"/>
          <w:color w:val="1A1C20"/>
          <w:lang w:eastAsia="en-GB"/>
        </w:rPr>
        <w:t>people</w:t>
      </w:r>
      <w:r w:rsidRPr="008A501B">
        <w:rPr>
          <w:rFonts w:ascii="Arial" w:eastAsia="Times New Roman" w:hAnsi="Arial" w:cs="Arial"/>
          <w:color w:val="1A1C20"/>
          <w:lang w:eastAsia="en-GB"/>
        </w:rPr>
        <w:t xml:space="preserve"> supporting and providing services to approximately </w:t>
      </w:r>
      <w:r>
        <w:rPr>
          <w:rFonts w:ascii="Arial" w:eastAsia="Times New Roman" w:hAnsi="Arial" w:cs="Arial"/>
          <w:color w:val="1A1C20"/>
          <w:lang w:eastAsia="en-GB"/>
        </w:rPr>
        <w:t xml:space="preserve">large number </w:t>
      </w:r>
      <w:r w:rsidRPr="008A501B">
        <w:rPr>
          <w:rFonts w:ascii="Arial" w:eastAsia="Times New Roman" w:hAnsi="Arial" w:cs="Arial"/>
          <w:color w:val="1A1C20"/>
          <w:lang w:eastAsia="en-GB"/>
        </w:rPr>
        <w:t xml:space="preserve">beneficiaries through our education, housing, health, </w:t>
      </w:r>
      <w:proofErr w:type="gramStart"/>
      <w:r w:rsidRPr="008A501B">
        <w:rPr>
          <w:rFonts w:ascii="Arial" w:eastAsia="Times New Roman" w:hAnsi="Arial" w:cs="Arial"/>
          <w:color w:val="1A1C20"/>
          <w:lang w:eastAsia="en-GB"/>
        </w:rPr>
        <w:t>justice</w:t>
      </w:r>
      <w:proofErr w:type="gramEnd"/>
      <w:r w:rsidRPr="008A501B">
        <w:rPr>
          <w:rFonts w:ascii="Arial" w:eastAsia="Times New Roman" w:hAnsi="Arial" w:cs="Arial"/>
          <w:color w:val="1A1C20"/>
          <w:lang w:eastAsia="en-GB"/>
        </w:rPr>
        <w:t xml:space="preserve"> and advice services.</w:t>
      </w:r>
    </w:p>
    <w:p w14:paraId="70CCA649" w14:textId="77777777"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color w:val="1A1C20"/>
          <w:lang w:eastAsia="en-GB"/>
        </w:rPr>
        <w:t xml:space="preserve">Our supply chains cover goods, </w:t>
      </w:r>
      <w:proofErr w:type="gramStart"/>
      <w:r w:rsidRPr="008A501B">
        <w:rPr>
          <w:rFonts w:ascii="Arial" w:eastAsia="Times New Roman" w:hAnsi="Arial" w:cs="Arial"/>
          <w:color w:val="1A1C20"/>
          <w:lang w:eastAsia="en-GB"/>
        </w:rPr>
        <w:t>services</w:t>
      </w:r>
      <w:proofErr w:type="gramEnd"/>
      <w:r w:rsidRPr="008A501B">
        <w:rPr>
          <w:rFonts w:ascii="Arial" w:eastAsia="Times New Roman" w:hAnsi="Arial" w:cs="Arial"/>
          <w:color w:val="1A1C20"/>
          <w:lang w:eastAsia="en-GB"/>
        </w:rPr>
        <w:t xml:space="preserve"> and works necessary to support:</w:t>
      </w:r>
    </w:p>
    <w:p w14:paraId="761428B1" w14:textId="77777777" w:rsidR="00917A56" w:rsidRPr="008A501B" w:rsidRDefault="00917A56" w:rsidP="00D531E4">
      <w:pPr>
        <w:numPr>
          <w:ilvl w:val="0"/>
          <w:numId w:val="43"/>
        </w:numPr>
        <w:spacing w:after="150" w:line="276" w:lineRule="auto"/>
        <w:jc w:val="both"/>
        <w:rPr>
          <w:rFonts w:ascii="Arial" w:eastAsia="Times New Roman" w:hAnsi="Arial" w:cs="Arial"/>
          <w:color w:val="1A1C20"/>
          <w:lang w:eastAsia="en-GB"/>
        </w:rPr>
      </w:pPr>
      <w:r w:rsidRPr="008A501B">
        <w:rPr>
          <w:rFonts w:ascii="Arial" w:eastAsia="Times New Roman" w:hAnsi="Arial" w:cs="Arial"/>
          <w:color w:val="1A1C20"/>
          <w:lang w:eastAsia="en-GB"/>
        </w:rPr>
        <w:t>delivery to front line services including cleaning and property maintenance.</w:t>
      </w:r>
    </w:p>
    <w:p w14:paraId="7E69F6F9" w14:textId="77777777" w:rsidR="00917A56" w:rsidRPr="008A501B" w:rsidRDefault="00917A56" w:rsidP="00D531E4">
      <w:pPr>
        <w:numPr>
          <w:ilvl w:val="0"/>
          <w:numId w:val="43"/>
        </w:numPr>
        <w:spacing w:after="150" w:line="276" w:lineRule="auto"/>
        <w:jc w:val="both"/>
        <w:rPr>
          <w:rFonts w:ascii="Arial" w:eastAsia="Times New Roman" w:hAnsi="Arial" w:cs="Arial"/>
          <w:color w:val="1A1C20"/>
          <w:lang w:eastAsia="en-GB"/>
        </w:rPr>
      </w:pPr>
      <w:r w:rsidRPr="008A501B">
        <w:rPr>
          <w:rFonts w:ascii="Arial" w:eastAsia="Times New Roman" w:hAnsi="Arial" w:cs="Arial"/>
          <w:color w:val="1A1C20"/>
          <w:lang w:eastAsia="en-GB"/>
        </w:rPr>
        <w:t>“</w:t>
      </w:r>
      <w:proofErr w:type="gramStart"/>
      <w:r w:rsidRPr="008A501B">
        <w:rPr>
          <w:rFonts w:ascii="Arial" w:eastAsia="Times New Roman" w:hAnsi="Arial" w:cs="Arial"/>
          <w:color w:val="1A1C20"/>
          <w:lang w:eastAsia="en-GB"/>
        </w:rPr>
        <w:t>back</w:t>
      </w:r>
      <w:proofErr w:type="gramEnd"/>
      <w:r w:rsidRPr="008A501B">
        <w:rPr>
          <w:rFonts w:ascii="Arial" w:eastAsia="Times New Roman" w:hAnsi="Arial" w:cs="Arial"/>
          <w:color w:val="1A1C20"/>
          <w:lang w:eastAsia="en-GB"/>
        </w:rPr>
        <w:t>-office” services that keep the business operating efficiently.</w:t>
      </w:r>
    </w:p>
    <w:p w14:paraId="4234A538" w14:textId="77777777"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color w:val="1A1C20"/>
          <w:lang w:eastAsia="en-GB"/>
        </w:rPr>
        <w:t>This statement is approved by the Nacro Board of Trustees and is reviewed and updated annually.</w:t>
      </w:r>
    </w:p>
    <w:p w14:paraId="78B32B6F" w14:textId="77777777"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b/>
          <w:bCs/>
          <w:color w:val="1A1C20"/>
          <w:lang w:eastAsia="en-GB"/>
        </w:rPr>
        <w:t>Supply Chain</w:t>
      </w:r>
    </w:p>
    <w:p w14:paraId="0C963637" w14:textId="77777777"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color w:val="1A1C20"/>
          <w:lang w:eastAsia="en-GB"/>
        </w:rPr>
        <w:t>At Nacro, we are continuously improving our practices to identify and eliminate any slavery and human trafficking in our business and supply chains, and to act ethically and with integrity in all our business relationships.</w:t>
      </w:r>
    </w:p>
    <w:p w14:paraId="79AA9D3D" w14:textId="77777777"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color w:val="1A1C20"/>
          <w:lang w:eastAsia="en-GB"/>
        </w:rPr>
        <w:t>We use a wide range of contractors, suppliers and partners who provide services, goods and supplies to support our operational delivery.</w:t>
      </w:r>
    </w:p>
    <w:p w14:paraId="215F3562" w14:textId="77777777"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b/>
          <w:bCs/>
          <w:color w:val="1A1C20"/>
          <w:lang w:eastAsia="en-GB"/>
        </w:rPr>
        <w:t>Policy Framework</w:t>
      </w:r>
    </w:p>
    <w:p w14:paraId="5C8FACC4" w14:textId="77777777"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color w:val="1A1C20"/>
          <w:lang w:eastAsia="en-GB"/>
        </w:rPr>
        <w:t xml:space="preserve">We have an extensive and robust framework of policies, </w:t>
      </w:r>
      <w:proofErr w:type="gramStart"/>
      <w:r w:rsidRPr="008A501B">
        <w:rPr>
          <w:rFonts w:ascii="Arial" w:eastAsia="Times New Roman" w:hAnsi="Arial" w:cs="Arial"/>
          <w:color w:val="1A1C20"/>
          <w:lang w:eastAsia="en-GB"/>
        </w:rPr>
        <w:t>procedures</w:t>
      </w:r>
      <w:proofErr w:type="gramEnd"/>
      <w:r w:rsidRPr="008A501B">
        <w:rPr>
          <w:rFonts w:ascii="Arial" w:eastAsia="Times New Roman" w:hAnsi="Arial" w:cs="Arial"/>
          <w:color w:val="1A1C20"/>
          <w:lang w:eastAsia="en-GB"/>
        </w:rPr>
        <w:t xml:space="preserve"> and contractual requirements in place to support our undertaking and underpin our approach to tackling the risk of modern slavery in our supply chain. These include:</w:t>
      </w:r>
    </w:p>
    <w:p w14:paraId="0EE3D5F0" w14:textId="50CD1E92"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b/>
          <w:bCs/>
          <w:color w:val="1A1C20"/>
          <w:lang w:eastAsia="en-GB"/>
        </w:rPr>
        <w:t>Procurement Policy</w:t>
      </w:r>
    </w:p>
    <w:p w14:paraId="55931FE5" w14:textId="77777777"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color w:val="1A1C20"/>
          <w:lang w:eastAsia="en-GB"/>
        </w:rPr>
        <w:t>Nacro will only trade with those who fully comply with this Policy or those who are taking verifiable steps towards compliance. Nacro will assess any suspected instances of non-compliance on a case-by-case basis and take appropriate remedial action.</w:t>
      </w:r>
    </w:p>
    <w:p w14:paraId="083B6784" w14:textId="400F2018"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color w:val="1A1C20"/>
          <w:lang w:eastAsia="en-GB"/>
        </w:rPr>
        <w:t xml:space="preserve">Nacro’s procurement seeks to identify and mitigate risks in supply chains particularly around modern slavery and human trafficking. </w:t>
      </w:r>
      <w:r>
        <w:rPr>
          <w:rFonts w:ascii="Arial" w:eastAsia="Times New Roman" w:hAnsi="Arial" w:cs="Arial"/>
          <w:color w:val="1A1C20"/>
          <w:lang w:eastAsia="en-GB"/>
        </w:rPr>
        <w:t>W</w:t>
      </w:r>
      <w:r w:rsidRPr="008A501B">
        <w:rPr>
          <w:rFonts w:ascii="Arial" w:eastAsia="Times New Roman" w:hAnsi="Arial" w:cs="Arial"/>
          <w:color w:val="1A1C20"/>
          <w:lang w:eastAsia="en-GB"/>
        </w:rPr>
        <w:t>e aim to ensure that all new procurement activity addresses the following areas:</w:t>
      </w:r>
    </w:p>
    <w:p w14:paraId="69FEE5D4" w14:textId="77777777" w:rsidR="00917A56" w:rsidRPr="008A501B" w:rsidRDefault="00917A56" w:rsidP="00D531E4">
      <w:pPr>
        <w:spacing w:after="195" w:line="276" w:lineRule="auto"/>
        <w:jc w:val="both"/>
        <w:rPr>
          <w:rFonts w:ascii="Arial" w:eastAsia="Times New Roman" w:hAnsi="Arial" w:cs="Arial"/>
          <w:color w:val="1A1C20"/>
          <w:lang w:eastAsia="en-GB"/>
        </w:rPr>
      </w:pPr>
      <w:proofErr w:type="spellStart"/>
      <w:r w:rsidRPr="008A501B">
        <w:rPr>
          <w:rFonts w:ascii="Arial" w:eastAsia="Times New Roman" w:hAnsi="Arial" w:cs="Arial"/>
          <w:color w:val="1A1C20"/>
          <w:lang w:eastAsia="en-GB"/>
        </w:rPr>
        <w:lastRenderedPageBreak/>
        <w:t>i</w:t>
      </w:r>
      <w:proofErr w:type="spellEnd"/>
      <w:r w:rsidRPr="008A501B">
        <w:rPr>
          <w:rFonts w:ascii="Arial" w:eastAsia="Times New Roman" w:hAnsi="Arial" w:cs="Arial"/>
          <w:color w:val="1A1C20"/>
          <w:lang w:eastAsia="en-GB"/>
        </w:rPr>
        <w:t>. Contract clauses that require our supply chain to use reasonable endeavours to ensure that its employees or agents and/or supply chain shall act in a way which is compatible with the Modern Slavery Act 2015.</w:t>
      </w:r>
    </w:p>
    <w:p w14:paraId="72C3DCAA" w14:textId="77777777"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color w:val="1A1C20"/>
          <w:lang w:eastAsia="en-GB"/>
        </w:rPr>
        <w:t>ii. Our supply chain, and where relevant, publish a statement as required by the Act.</w:t>
      </w:r>
    </w:p>
    <w:p w14:paraId="5EF5601D" w14:textId="77777777"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color w:val="1A1C20"/>
          <w:lang w:eastAsia="en-GB"/>
        </w:rPr>
        <w:t>iii. A right for Nacro to audit our supply chain providers’ procedures and processes to ensure that they comply with the Modern Slavery Act 2015. Where a supply chain provider is not compliant, the right for Nacro to require that provider to take remedial actions as requested to address any areas of concern, or to cancel the contract.</w:t>
      </w:r>
    </w:p>
    <w:p w14:paraId="06752A35" w14:textId="0D7F813D"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b/>
          <w:bCs/>
          <w:color w:val="1A1C20"/>
          <w:lang w:eastAsia="en-GB"/>
        </w:rPr>
        <w:t>Recruitment</w:t>
      </w:r>
    </w:p>
    <w:p w14:paraId="57E0D56C" w14:textId="359FB219"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color w:val="1A1C20"/>
          <w:lang w:eastAsia="en-GB"/>
        </w:rPr>
        <w:t xml:space="preserve">Our recruitment </w:t>
      </w:r>
      <w:r>
        <w:rPr>
          <w:rFonts w:ascii="Arial" w:eastAsia="Times New Roman" w:hAnsi="Arial" w:cs="Arial"/>
          <w:color w:val="1A1C20"/>
          <w:lang w:eastAsia="en-GB"/>
        </w:rPr>
        <w:t xml:space="preserve">process </w:t>
      </w:r>
      <w:proofErr w:type="gramStart"/>
      <w:r>
        <w:rPr>
          <w:rFonts w:ascii="Arial" w:eastAsia="Times New Roman" w:hAnsi="Arial" w:cs="Arial"/>
          <w:color w:val="1A1C20"/>
          <w:lang w:eastAsia="en-GB"/>
        </w:rPr>
        <w:t>follow</w:t>
      </w:r>
      <w:proofErr w:type="gramEnd"/>
      <w:r>
        <w:rPr>
          <w:rFonts w:ascii="Arial" w:eastAsia="Times New Roman" w:hAnsi="Arial" w:cs="Arial"/>
          <w:color w:val="1A1C20"/>
          <w:lang w:eastAsia="en-GB"/>
        </w:rPr>
        <w:t xml:space="preserve"> a “safer recruitment” process </w:t>
      </w:r>
      <w:r w:rsidRPr="008A501B">
        <w:rPr>
          <w:rFonts w:ascii="Arial" w:eastAsia="Times New Roman" w:hAnsi="Arial" w:cs="Arial"/>
          <w:color w:val="1A1C20"/>
          <w:lang w:eastAsia="en-GB"/>
        </w:rPr>
        <w:t>to ensure that all prospective employees are legally entitled to work in the UK</w:t>
      </w:r>
      <w:r>
        <w:rPr>
          <w:rFonts w:ascii="Arial" w:eastAsia="Times New Roman" w:hAnsi="Arial" w:cs="Arial"/>
          <w:color w:val="1A1C20"/>
          <w:lang w:eastAsia="en-GB"/>
        </w:rPr>
        <w:t xml:space="preserve"> and have the right background checks before working for Nacro</w:t>
      </w:r>
      <w:r w:rsidRPr="008A501B">
        <w:rPr>
          <w:rFonts w:ascii="Arial" w:eastAsia="Times New Roman" w:hAnsi="Arial" w:cs="Arial"/>
          <w:color w:val="1A1C20"/>
          <w:lang w:eastAsia="en-GB"/>
        </w:rPr>
        <w:t xml:space="preserve">. Policies, </w:t>
      </w:r>
      <w:proofErr w:type="gramStart"/>
      <w:r w:rsidRPr="008A501B">
        <w:rPr>
          <w:rFonts w:ascii="Arial" w:eastAsia="Times New Roman" w:hAnsi="Arial" w:cs="Arial"/>
          <w:color w:val="1A1C20"/>
          <w:lang w:eastAsia="en-GB"/>
        </w:rPr>
        <w:t>procedures</w:t>
      </w:r>
      <w:proofErr w:type="gramEnd"/>
      <w:r w:rsidRPr="008A501B">
        <w:rPr>
          <w:rFonts w:ascii="Arial" w:eastAsia="Times New Roman" w:hAnsi="Arial" w:cs="Arial"/>
          <w:color w:val="1A1C20"/>
          <w:lang w:eastAsia="en-GB"/>
        </w:rPr>
        <w:t xml:space="preserve"> and support are in place for </w:t>
      </w:r>
      <w:r w:rsidR="00D531E4">
        <w:rPr>
          <w:rFonts w:ascii="Arial" w:eastAsia="Times New Roman" w:hAnsi="Arial" w:cs="Arial"/>
          <w:color w:val="1A1C20"/>
          <w:lang w:eastAsia="en-GB"/>
        </w:rPr>
        <w:t>people</w:t>
      </w:r>
      <w:r w:rsidRPr="008A501B">
        <w:rPr>
          <w:rFonts w:ascii="Arial" w:eastAsia="Times New Roman" w:hAnsi="Arial" w:cs="Arial"/>
          <w:color w:val="1A1C20"/>
          <w:lang w:eastAsia="en-GB"/>
        </w:rPr>
        <w:t xml:space="preserve"> to raise concerns if they are experiencing any type of abuse once in our employment.</w:t>
      </w:r>
    </w:p>
    <w:p w14:paraId="6768637A" w14:textId="6DA21B0A"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b/>
          <w:bCs/>
          <w:color w:val="1A1C20"/>
          <w:lang w:eastAsia="en-GB"/>
        </w:rPr>
        <w:t>Safeguarding Policy</w:t>
      </w:r>
    </w:p>
    <w:p w14:paraId="2ABD37F5" w14:textId="4A8036DB"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color w:val="1A1C20"/>
          <w:lang w:eastAsia="en-GB"/>
        </w:rPr>
        <w:t>Nacro has a Safeguarding Policy in place to ensure that all suspected cases of neglect or abuse are investigated and reported. A designated safeguarding officer (DSO) structure is in place that gives access to trained local DSOs. In addition</w:t>
      </w:r>
      <w:r w:rsidR="00D531E4">
        <w:rPr>
          <w:rFonts w:ascii="Arial" w:eastAsia="Times New Roman" w:hAnsi="Arial" w:cs="Arial"/>
          <w:color w:val="1A1C20"/>
          <w:lang w:eastAsia="en-GB"/>
        </w:rPr>
        <w:t>,</w:t>
      </w:r>
      <w:r w:rsidRPr="008A501B">
        <w:rPr>
          <w:rFonts w:ascii="Arial" w:eastAsia="Times New Roman" w:hAnsi="Arial" w:cs="Arial"/>
          <w:color w:val="1A1C20"/>
          <w:lang w:eastAsia="en-GB"/>
        </w:rPr>
        <w:t xml:space="preserve"> each </w:t>
      </w:r>
      <w:r>
        <w:rPr>
          <w:rFonts w:ascii="Arial" w:eastAsia="Times New Roman" w:hAnsi="Arial" w:cs="Arial"/>
          <w:color w:val="1A1C20"/>
          <w:lang w:eastAsia="en-GB"/>
        </w:rPr>
        <w:t>Directorate</w:t>
      </w:r>
      <w:r w:rsidRPr="008A501B">
        <w:rPr>
          <w:rFonts w:ascii="Arial" w:eastAsia="Times New Roman" w:hAnsi="Arial" w:cs="Arial"/>
          <w:color w:val="1A1C20"/>
          <w:lang w:eastAsia="en-GB"/>
        </w:rPr>
        <w:t xml:space="preserve"> has a safeguarding lead who will ensure continued compliance and deal with safeguarding concerns.</w:t>
      </w:r>
    </w:p>
    <w:p w14:paraId="3818766A" w14:textId="6593532F"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b/>
          <w:bCs/>
          <w:color w:val="1A1C20"/>
          <w:lang w:eastAsia="en-GB"/>
        </w:rPr>
        <w:t>Whistleblowing Policy</w:t>
      </w:r>
    </w:p>
    <w:p w14:paraId="1D839421" w14:textId="77777777"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color w:val="1A1C20"/>
          <w:lang w:eastAsia="en-GB"/>
        </w:rPr>
        <w:t>Our Whistleblowing Policy provides advice to colleagues, Board and Committee Members about how to report any instances of malpractice within our organisation or supply chain.</w:t>
      </w:r>
    </w:p>
    <w:p w14:paraId="5BD684BD" w14:textId="4BEA8203"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b/>
          <w:bCs/>
          <w:color w:val="1A1C20"/>
          <w:lang w:eastAsia="en-GB"/>
        </w:rPr>
        <w:t>Lettings Policy</w:t>
      </w:r>
    </w:p>
    <w:p w14:paraId="4FAF1CD4" w14:textId="77777777"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color w:val="1A1C20"/>
          <w:lang w:eastAsia="en-GB"/>
        </w:rPr>
        <w:t>When signing up new tenants we undertake background and identification checks. Our tenancy services team will always investigate any allegations regarding potential tenancy fraud.</w:t>
      </w:r>
    </w:p>
    <w:p w14:paraId="0BF1C683" w14:textId="441988CC"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b/>
          <w:bCs/>
          <w:color w:val="1A1C20"/>
          <w:lang w:eastAsia="en-GB"/>
        </w:rPr>
        <w:t>Training</w:t>
      </w:r>
    </w:p>
    <w:p w14:paraId="55594CBB" w14:textId="77777777"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color w:val="1A1C20"/>
          <w:lang w:eastAsia="en-GB"/>
        </w:rPr>
        <w:t xml:space="preserve">We are committed to raising awareness amongst colleagues about anti-slavery and human trafficking. This topic will be a regular feature in our Equality, </w:t>
      </w:r>
      <w:proofErr w:type="gramStart"/>
      <w:r w:rsidRPr="008A501B">
        <w:rPr>
          <w:rFonts w:ascii="Arial" w:eastAsia="Times New Roman" w:hAnsi="Arial" w:cs="Arial"/>
          <w:color w:val="1A1C20"/>
          <w:lang w:eastAsia="en-GB"/>
        </w:rPr>
        <w:t>Diversity</w:t>
      </w:r>
      <w:proofErr w:type="gramEnd"/>
      <w:r w:rsidRPr="008A501B">
        <w:rPr>
          <w:rFonts w:ascii="Arial" w:eastAsia="Times New Roman" w:hAnsi="Arial" w:cs="Arial"/>
          <w:color w:val="1A1C20"/>
          <w:lang w:eastAsia="en-GB"/>
        </w:rPr>
        <w:t xml:space="preserve"> and Inclusion training plans.</w:t>
      </w:r>
    </w:p>
    <w:p w14:paraId="5DE1842A" w14:textId="77777777" w:rsidR="00917A56" w:rsidRPr="008A501B" w:rsidRDefault="00917A56" w:rsidP="00D531E4">
      <w:pPr>
        <w:spacing w:after="195" w:line="276" w:lineRule="auto"/>
        <w:jc w:val="both"/>
        <w:rPr>
          <w:rFonts w:ascii="Arial" w:eastAsia="Times New Roman" w:hAnsi="Arial" w:cs="Arial"/>
          <w:color w:val="1A1C20"/>
          <w:lang w:eastAsia="en-GB"/>
        </w:rPr>
      </w:pPr>
      <w:r w:rsidRPr="008A501B">
        <w:rPr>
          <w:rFonts w:ascii="Arial" w:eastAsia="Times New Roman" w:hAnsi="Arial" w:cs="Arial"/>
          <w:color w:val="1A1C20"/>
          <w:lang w:eastAsia="en-GB"/>
        </w:rPr>
        <w:t xml:space="preserve">We will further enhance our procedures to help us identify, </w:t>
      </w:r>
      <w:proofErr w:type="gramStart"/>
      <w:r w:rsidRPr="008A501B">
        <w:rPr>
          <w:rFonts w:ascii="Arial" w:eastAsia="Times New Roman" w:hAnsi="Arial" w:cs="Arial"/>
          <w:color w:val="1A1C20"/>
          <w:lang w:eastAsia="en-GB"/>
        </w:rPr>
        <w:t>prevent</w:t>
      </w:r>
      <w:proofErr w:type="gramEnd"/>
      <w:r w:rsidRPr="008A501B">
        <w:rPr>
          <w:rFonts w:ascii="Arial" w:eastAsia="Times New Roman" w:hAnsi="Arial" w:cs="Arial"/>
          <w:color w:val="1A1C20"/>
          <w:lang w:eastAsia="en-GB"/>
        </w:rPr>
        <w:t xml:space="preserve"> and mitigate any risks of modern slavery or human trafficking in relation to new and existing suppliers and in relation to our own operations.</w:t>
      </w:r>
    </w:p>
    <w:p w14:paraId="2F981E1E" w14:textId="5479B2D7" w:rsidR="00917A56" w:rsidRDefault="00917A56" w:rsidP="00D531E4">
      <w:pPr>
        <w:spacing w:after="195" w:line="276" w:lineRule="auto"/>
        <w:jc w:val="both"/>
      </w:pPr>
      <w:r w:rsidRPr="008A501B">
        <w:rPr>
          <w:rFonts w:ascii="Arial" w:eastAsia="Times New Roman" w:hAnsi="Arial" w:cs="Arial"/>
          <w:color w:val="1A1C20"/>
          <w:lang w:eastAsia="en-GB"/>
        </w:rPr>
        <w:t xml:space="preserve">This statement has been formally approved by </w:t>
      </w:r>
      <w:r w:rsidR="00D531E4">
        <w:rPr>
          <w:rFonts w:ascii="Arial" w:eastAsia="Times New Roman" w:hAnsi="Arial" w:cs="Arial"/>
          <w:color w:val="1A1C20"/>
          <w:lang w:eastAsia="en-GB"/>
        </w:rPr>
        <w:t xml:space="preserve">Nacro’s People Committee on behalf of the </w:t>
      </w:r>
      <w:r w:rsidRPr="008A501B">
        <w:rPr>
          <w:rFonts w:ascii="Arial" w:eastAsia="Times New Roman" w:hAnsi="Arial" w:cs="Arial"/>
          <w:color w:val="1A1C20"/>
          <w:lang w:eastAsia="en-GB"/>
        </w:rPr>
        <w:t>Nacro</w:t>
      </w:r>
      <w:r w:rsidR="00D531E4">
        <w:rPr>
          <w:rFonts w:ascii="Arial" w:eastAsia="Times New Roman" w:hAnsi="Arial" w:cs="Arial"/>
          <w:color w:val="1A1C20"/>
          <w:lang w:eastAsia="en-GB"/>
        </w:rPr>
        <w:t xml:space="preserve">’s </w:t>
      </w:r>
      <w:r w:rsidR="00A05A93">
        <w:rPr>
          <w:rFonts w:ascii="Arial" w:eastAsia="Times New Roman" w:hAnsi="Arial" w:cs="Arial"/>
          <w:color w:val="1A1C20"/>
          <w:lang w:eastAsia="en-GB"/>
        </w:rPr>
        <w:t>Board of Trustees</w:t>
      </w:r>
      <w:r w:rsidR="00D531E4">
        <w:rPr>
          <w:rFonts w:ascii="Arial" w:eastAsia="Times New Roman" w:hAnsi="Arial" w:cs="Arial"/>
          <w:color w:val="1A1C20"/>
          <w:lang w:eastAsia="en-GB"/>
        </w:rPr>
        <w:t>.</w:t>
      </w:r>
    </w:p>
    <w:bookmarkEnd w:id="0"/>
    <w:p w14:paraId="7332405F" w14:textId="112BC18C" w:rsidR="00AE6052" w:rsidRDefault="00AE6052" w:rsidP="003213EF">
      <w:pPr>
        <w:spacing w:line="276" w:lineRule="auto"/>
        <w:jc w:val="both"/>
        <w:rPr>
          <w:rFonts w:ascii="Arial" w:eastAsia="Times New Roman" w:hAnsi="Arial" w:cs="Arial"/>
        </w:rPr>
      </w:pPr>
    </w:p>
    <w:sectPr w:rsidR="00AE605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D67B" w14:textId="77777777" w:rsidR="00620732" w:rsidRDefault="00620732" w:rsidP="00620732">
      <w:r>
        <w:separator/>
      </w:r>
    </w:p>
  </w:endnote>
  <w:endnote w:type="continuationSeparator" w:id="0">
    <w:p w14:paraId="1846B712" w14:textId="77777777" w:rsidR="00620732" w:rsidRDefault="00620732" w:rsidP="0062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Pro-Medium">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645A" w14:textId="77777777" w:rsidR="00620732" w:rsidRDefault="00620732" w:rsidP="00620732">
      <w:r>
        <w:separator/>
      </w:r>
    </w:p>
  </w:footnote>
  <w:footnote w:type="continuationSeparator" w:id="0">
    <w:p w14:paraId="2322BA27" w14:textId="77777777" w:rsidR="00620732" w:rsidRDefault="00620732" w:rsidP="00620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77F7" w14:textId="76E739D0" w:rsidR="00620732" w:rsidRDefault="00045AE4" w:rsidP="00620732">
    <w:pPr>
      <w:pStyle w:val="Header"/>
    </w:pPr>
    <w:r w:rsidRPr="001359A0">
      <w:rPr>
        <w:noProof/>
      </w:rPr>
      <w:drawing>
        <wp:anchor distT="0" distB="0" distL="114300" distR="114300" simplePos="0" relativeHeight="251659264" behindDoc="0" locked="0" layoutInCell="1" allowOverlap="1" wp14:anchorId="14840D79" wp14:editId="3154988A">
          <wp:simplePos x="0" y="0"/>
          <wp:positionH relativeFrom="margin">
            <wp:posOffset>4502150</wp:posOffset>
          </wp:positionH>
          <wp:positionV relativeFrom="topMargin">
            <wp:posOffset>539750</wp:posOffset>
          </wp:positionV>
          <wp:extent cx="1545590" cy="408940"/>
          <wp:effectExtent l="0" t="0" r="0" b="0"/>
          <wp:wrapSquare wrapText="bothSides"/>
          <wp:docPr id="3" name="Picture 3" descr="Logo&#10;&#10;Description automatically generated">
            <a:extLst xmlns:a="http://schemas.openxmlformats.org/drawingml/2006/main">
              <a:ext uri="{FF2B5EF4-FFF2-40B4-BE49-F238E27FC236}">
                <a16:creationId xmlns:a16="http://schemas.microsoft.com/office/drawing/2014/main" id="{148B3A23-64B8-738C-B463-EB7235219B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extLst>
                      <a:ext uri="{FF2B5EF4-FFF2-40B4-BE49-F238E27FC236}">
                        <a16:creationId xmlns:a16="http://schemas.microsoft.com/office/drawing/2014/main" id="{148B3A23-64B8-738C-B463-EB7235219BD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5590" cy="408940"/>
                  </a:xfrm>
                  <a:prstGeom prst="rect">
                    <a:avLst/>
                  </a:prstGeom>
                </pic:spPr>
              </pic:pic>
            </a:graphicData>
          </a:graphic>
        </wp:anchor>
      </w:drawing>
    </w:r>
  </w:p>
  <w:p w14:paraId="37AC6F0B" w14:textId="77777777" w:rsidR="00045AE4" w:rsidRDefault="00045AE4" w:rsidP="00045AE4">
    <w:pPr>
      <w:pStyle w:val="Header"/>
      <w:rPr>
        <w:rFonts w:ascii="Arial" w:hAnsi="Arial" w:cs="Arial"/>
        <w:b/>
      </w:rPr>
    </w:pPr>
  </w:p>
  <w:p w14:paraId="7356CC2E" w14:textId="77777777" w:rsidR="00620732" w:rsidRDefault="00620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D00"/>
    <w:multiLevelType w:val="hybridMultilevel"/>
    <w:tmpl w:val="2F9011E0"/>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 w15:restartNumberingAfterBreak="0">
    <w:nsid w:val="07935241"/>
    <w:multiLevelType w:val="hybridMultilevel"/>
    <w:tmpl w:val="9474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84872"/>
    <w:multiLevelType w:val="hybridMultilevel"/>
    <w:tmpl w:val="025265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D1C1A25"/>
    <w:multiLevelType w:val="hybridMultilevel"/>
    <w:tmpl w:val="2014F72A"/>
    <w:lvl w:ilvl="0" w:tplc="B50E90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8B14B5"/>
    <w:multiLevelType w:val="hybridMultilevel"/>
    <w:tmpl w:val="20A815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B444A8"/>
    <w:multiLevelType w:val="hybridMultilevel"/>
    <w:tmpl w:val="6870FB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0855C1"/>
    <w:multiLevelType w:val="multilevel"/>
    <w:tmpl w:val="2480B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26304"/>
    <w:multiLevelType w:val="hybridMultilevel"/>
    <w:tmpl w:val="A23C455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A02D8E"/>
    <w:multiLevelType w:val="hybridMultilevel"/>
    <w:tmpl w:val="BCA8F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1C72B12"/>
    <w:multiLevelType w:val="multilevel"/>
    <w:tmpl w:val="F5A4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68709C"/>
    <w:multiLevelType w:val="hybridMultilevel"/>
    <w:tmpl w:val="AFA86A14"/>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1" w15:restartNumberingAfterBreak="0">
    <w:nsid w:val="16FD2128"/>
    <w:multiLevelType w:val="hybridMultilevel"/>
    <w:tmpl w:val="6BCA9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447490"/>
    <w:multiLevelType w:val="hybridMultilevel"/>
    <w:tmpl w:val="59602DB4"/>
    <w:lvl w:ilvl="0" w:tplc="B50E505C">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592161"/>
    <w:multiLevelType w:val="hybridMultilevel"/>
    <w:tmpl w:val="6404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E815AB"/>
    <w:multiLevelType w:val="hybridMultilevel"/>
    <w:tmpl w:val="6A8AA86A"/>
    <w:lvl w:ilvl="0" w:tplc="77E4ED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85263C"/>
    <w:multiLevelType w:val="hybridMultilevel"/>
    <w:tmpl w:val="CDA03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07154E"/>
    <w:multiLevelType w:val="hybridMultilevel"/>
    <w:tmpl w:val="C74AF5C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43257"/>
    <w:multiLevelType w:val="hybridMultilevel"/>
    <w:tmpl w:val="034AADE4"/>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4A5812"/>
    <w:multiLevelType w:val="hybridMultilevel"/>
    <w:tmpl w:val="E4F4F410"/>
    <w:lvl w:ilvl="0" w:tplc="0809000F">
      <w:start w:val="1"/>
      <w:numFmt w:val="decimal"/>
      <w:lvlText w:val="%1."/>
      <w:lvlJc w:val="left"/>
      <w:pPr>
        <w:ind w:left="776" w:hanging="360"/>
      </w:pPr>
      <w:rPr>
        <w:rFont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9" w15:restartNumberingAfterBreak="0">
    <w:nsid w:val="2B1B5F07"/>
    <w:multiLevelType w:val="hybridMultilevel"/>
    <w:tmpl w:val="BDD2A7A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0" w15:restartNumberingAfterBreak="0">
    <w:nsid w:val="2C9D4D58"/>
    <w:multiLevelType w:val="hybridMultilevel"/>
    <w:tmpl w:val="F42CE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E622CD7"/>
    <w:multiLevelType w:val="multilevel"/>
    <w:tmpl w:val="D58E67B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F1B5826"/>
    <w:multiLevelType w:val="hybridMultilevel"/>
    <w:tmpl w:val="CCBE3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384925"/>
    <w:multiLevelType w:val="multilevel"/>
    <w:tmpl w:val="32B0FA2E"/>
    <w:lvl w:ilvl="0">
      <w:start w:val="1"/>
      <w:numFmt w:val="bullet"/>
      <w:lvlText w:val=""/>
      <w:lvlJc w:val="left"/>
      <w:pPr>
        <w:ind w:left="1440" w:hanging="720"/>
      </w:pPr>
      <w:rPr>
        <w:rFonts w:ascii="Symbol" w:hAnsi="Symbol" w:hint="default"/>
      </w:rPr>
    </w:lvl>
    <w:lvl w:ilvl="1">
      <w:start w:val="3"/>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3374242C"/>
    <w:multiLevelType w:val="hybridMultilevel"/>
    <w:tmpl w:val="EF58A79E"/>
    <w:lvl w:ilvl="0" w:tplc="3CD8BA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639775B"/>
    <w:multiLevelType w:val="multilevel"/>
    <w:tmpl w:val="70CCA5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9A03E0"/>
    <w:multiLevelType w:val="multilevel"/>
    <w:tmpl w:val="89C4CA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94815A0"/>
    <w:multiLevelType w:val="hybridMultilevel"/>
    <w:tmpl w:val="A23C6A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F01BDB"/>
    <w:multiLevelType w:val="hybridMultilevel"/>
    <w:tmpl w:val="3E280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6072D7"/>
    <w:multiLevelType w:val="hybridMultilevel"/>
    <w:tmpl w:val="80C21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7C0025"/>
    <w:multiLevelType w:val="hybridMultilevel"/>
    <w:tmpl w:val="89248F9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E20E4B"/>
    <w:multiLevelType w:val="hybridMultilevel"/>
    <w:tmpl w:val="1C8A5C4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ED319F0"/>
    <w:multiLevelType w:val="hybridMultilevel"/>
    <w:tmpl w:val="90BCE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B745B"/>
    <w:multiLevelType w:val="hybridMultilevel"/>
    <w:tmpl w:val="109C6C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352048D"/>
    <w:multiLevelType w:val="hybridMultilevel"/>
    <w:tmpl w:val="650C1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9DB4838"/>
    <w:multiLevelType w:val="hybridMultilevel"/>
    <w:tmpl w:val="C3C63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3D2E69"/>
    <w:multiLevelType w:val="multilevel"/>
    <w:tmpl w:val="6AF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2F1497"/>
    <w:multiLevelType w:val="hybridMultilevel"/>
    <w:tmpl w:val="8800EE8C"/>
    <w:lvl w:ilvl="0" w:tplc="E4B44B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6626DC1"/>
    <w:multiLevelType w:val="multilevel"/>
    <w:tmpl w:val="F00C9944"/>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8EA6EA9"/>
    <w:multiLevelType w:val="hybridMultilevel"/>
    <w:tmpl w:val="488A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ED33ED"/>
    <w:multiLevelType w:val="hybridMultilevel"/>
    <w:tmpl w:val="9EB2C50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18375111">
    <w:abstractNumId w:val="6"/>
  </w:num>
  <w:num w:numId="2" w16cid:durableId="201750625">
    <w:abstractNumId w:val="1"/>
  </w:num>
  <w:num w:numId="3" w16cid:durableId="1126004400">
    <w:abstractNumId w:val="19"/>
  </w:num>
  <w:num w:numId="4" w16cid:durableId="181431864">
    <w:abstractNumId w:val="18"/>
  </w:num>
  <w:num w:numId="5" w16cid:durableId="726535836">
    <w:abstractNumId w:val="1"/>
  </w:num>
  <w:num w:numId="6" w16cid:durableId="709187974">
    <w:abstractNumId w:val="9"/>
  </w:num>
  <w:num w:numId="7" w16cid:durableId="2016877488">
    <w:abstractNumId w:val="12"/>
  </w:num>
  <w:num w:numId="8" w16cid:durableId="912203387">
    <w:abstractNumId w:val="24"/>
  </w:num>
  <w:num w:numId="9" w16cid:durableId="1874614456">
    <w:abstractNumId w:val="23"/>
  </w:num>
  <w:num w:numId="10" w16cid:durableId="657080209">
    <w:abstractNumId w:val="21"/>
  </w:num>
  <w:num w:numId="11" w16cid:durableId="1025134218">
    <w:abstractNumId w:val="0"/>
  </w:num>
  <w:num w:numId="12" w16cid:durableId="1595506015">
    <w:abstractNumId w:val="5"/>
  </w:num>
  <w:num w:numId="13" w16cid:durableId="1541936167">
    <w:abstractNumId w:val="4"/>
  </w:num>
  <w:num w:numId="14" w16cid:durableId="1108698500">
    <w:abstractNumId w:val="33"/>
  </w:num>
  <w:num w:numId="15" w16cid:durableId="1008948613">
    <w:abstractNumId w:val="34"/>
  </w:num>
  <w:num w:numId="16" w16cid:durableId="11826634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9385097">
    <w:abstractNumId w:val="31"/>
  </w:num>
  <w:num w:numId="18" w16cid:durableId="1082989868">
    <w:abstractNumId w:val="7"/>
  </w:num>
  <w:num w:numId="19" w16cid:durableId="1969628307">
    <w:abstractNumId w:val="27"/>
  </w:num>
  <w:num w:numId="20" w16cid:durableId="1477992490">
    <w:abstractNumId w:val="40"/>
  </w:num>
  <w:num w:numId="21" w16cid:durableId="446004337">
    <w:abstractNumId w:val="30"/>
  </w:num>
  <w:num w:numId="22" w16cid:durableId="744038468">
    <w:abstractNumId w:val="13"/>
  </w:num>
  <w:num w:numId="23" w16cid:durableId="835339091">
    <w:abstractNumId w:val="2"/>
  </w:num>
  <w:num w:numId="24" w16cid:durableId="196047426">
    <w:abstractNumId w:val="32"/>
  </w:num>
  <w:num w:numId="25" w16cid:durableId="1476948160">
    <w:abstractNumId w:val="14"/>
  </w:num>
  <w:num w:numId="26" w16cid:durableId="1228421419">
    <w:abstractNumId w:val="17"/>
  </w:num>
  <w:num w:numId="27" w16cid:durableId="489440688">
    <w:abstractNumId w:val="26"/>
  </w:num>
  <w:num w:numId="28" w16cid:durableId="215438044">
    <w:abstractNumId w:val="25"/>
  </w:num>
  <w:num w:numId="29" w16cid:durableId="1660115070">
    <w:abstractNumId w:val="38"/>
  </w:num>
  <w:num w:numId="30" w16cid:durableId="2036734062">
    <w:abstractNumId w:val="3"/>
  </w:num>
  <w:num w:numId="31" w16cid:durableId="1140003735">
    <w:abstractNumId w:val="37"/>
  </w:num>
  <w:num w:numId="32" w16cid:durableId="247737375">
    <w:abstractNumId w:val="8"/>
  </w:num>
  <w:num w:numId="33" w16cid:durableId="1505897470">
    <w:abstractNumId w:val="28"/>
  </w:num>
  <w:num w:numId="34" w16cid:durableId="682365366">
    <w:abstractNumId w:val="29"/>
  </w:num>
  <w:num w:numId="35" w16cid:durableId="1779525347">
    <w:abstractNumId w:val="15"/>
  </w:num>
  <w:num w:numId="36" w16cid:durableId="1171020346">
    <w:abstractNumId w:val="35"/>
  </w:num>
  <w:num w:numId="37" w16cid:durableId="2043086861">
    <w:abstractNumId w:val="16"/>
  </w:num>
  <w:num w:numId="38" w16cid:durableId="1845046900">
    <w:abstractNumId w:val="20"/>
  </w:num>
  <w:num w:numId="39" w16cid:durableId="1376467632">
    <w:abstractNumId w:val="39"/>
  </w:num>
  <w:num w:numId="40" w16cid:durableId="672030466">
    <w:abstractNumId w:val="11"/>
  </w:num>
  <w:num w:numId="41" w16cid:durableId="1533612645">
    <w:abstractNumId w:val="22"/>
  </w:num>
  <w:num w:numId="42" w16cid:durableId="2102799553">
    <w:abstractNumId w:val="10"/>
  </w:num>
  <w:num w:numId="43" w16cid:durableId="719476891">
    <w:abstractNumId w:val="3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AF"/>
    <w:rsid w:val="00003DCD"/>
    <w:rsid w:val="00015A2F"/>
    <w:rsid w:val="00040B25"/>
    <w:rsid w:val="00045AE4"/>
    <w:rsid w:val="000D3173"/>
    <w:rsid w:val="00100555"/>
    <w:rsid w:val="001043C7"/>
    <w:rsid w:val="00182963"/>
    <w:rsid w:val="002136F1"/>
    <w:rsid w:val="00223E10"/>
    <w:rsid w:val="002274F1"/>
    <w:rsid w:val="0024567B"/>
    <w:rsid w:val="00261606"/>
    <w:rsid w:val="002902F0"/>
    <w:rsid w:val="002D4A93"/>
    <w:rsid w:val="002E086E"/>
    <w:rsid w:val="002E26B7"/>
    <w:rsid w:val="00301A63"/>
    <w:rsid w:val="0030414D"/>
    <w:rsid w:val="003213EF"/>
    <w:rsid w:val="003666C9"/>
    <w:rsid w:val="003819FA"/>
    <w:rsid w:val="003C6CCE"/>
    <w:rsid w:val="003E1607"/>
    <w:rsid w:val="003F02E6"/>
    <w:rsid w:val="00411FB0"/>
    <w:rsid w:val="00464466"/>
    <w:rsid w:val="004C4C28"/>
    <w:rsid w:val="00516A68"/>
    <w:rsid w:val="00591CC7"/>
    <w:rsid w:val="005A4308"/>
    <w:rsid w:val="005D1AC6"/>
    <w:rsid w:val="00610340"/>
    <w:rsid w:val="00620732"/>
    <w:rsid w:val="006560A1"/>
    <w:rsid w:val="00664765"/>
    <w:rsid w:val="006A7A0C"/>
    <w:rsid w:val="00716370"/>
    <w:rsid w:val="00720E82"/>
    <w:rsid w:val="007657EA"/>
    <w:rsid w:val="007B6080"/>
    <w:rsid w:val="007C2EED"/>
    <w:rsid w:val="007C4CDC"/>
    <w:rsid w:val="00887237"/>
    <w:rsid w:val="00892616"/>
    <w:rsid w:val="008A13DB"/>
    <w:rsid w:val="008F387F"/>
    <w:rsid w:val="008F6DF0"/>
    <w:rsid w:val="00917A56"/>
    <w:rsid w:val="009418F0"/>
    <w:rsid w:val="009514C9"/>
    <w:rsid w:val="0095522C"/>
    <w:rsid w:val="009716CE"/>
    <w:rsid w:val="009B642B"/>
    <w:rsid w:val="009E0E5B"/>
    <w:rsid w:val="00A05A93"/>
    <w:rsid w:val="00A10BD4"/>
    <w:rsid w:val="00A805A4"/>
    <w:rsid w:val="00A97947"/>
    <w:rsid w:val="00AA1E65"/>
    <w:rsid w:val="00AB0221"/>
    <w:rsid w:val="00AE34E7"/>
    <w:rsid w:val="00AE6052"/>
    <w:rsid w:val="00B13D52"/>
    <w:rsid w:val="00B13D70"/>
    <w:rsid w:val="00B22B63"/>
    <w:rsid w:val="00B52807"/>
    <w:rsid w:val="00B562A9"/>
    <w:rsid w:val="00BB6C27"/>
    <w:rsid w:val="00C05F5A"/>
    <w:rsid w:val="00C0614C"/>
    <w:rsid w:val="00C52578"/>
    <w:rsid w:val="00C832EC"/>
    <w:rsid w:val="00CE715F"/>
    <w:rsid w:val="00D4768E"/>
    <w:rsid w:val="00D531E4"/>
    <w:rsid w:val="00D53DF6"/>
    <w:rsid w:val="00DD665E"/>
    <w:rsid w:val="00DF7CCC"/>
    <w:rsid w:val="00E00923"/>
    <w:rsid w:val="00E24D07"/>
    <w:rsid w:val="00E67CE0"/>
    <w:rsid w:val="00E776ED"/>
    <w:rsid w:val="00E9522E"/>
    <w:rsid w:val="00EB3CF3"/>
    <w:rsid w:val="00EB7C60"/>
    <w:rsid w:val="00EF4CBD"/>
    <w:rsid w:val="00F01A5A"/>
    <w:rsid w:val="00F10534"/>
    <w:rsid w:val="00F25DF0"/>
    <w:rsid w:val="00F654AC"/>
    <w:rsid w:val="00F84EAF"/>
    <w:rsid w:val="00F90094"/>
    <w:rsid w:val="00FE2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51B9CE"/>
  <w15:docId w15:val="{58D109D4-A4DC-4BBE-A2E9-57EED34E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3DB"/>
    <w:pPr>
      <w:spacing w:after="0" w:line="240" w:lineRule="auto"/>
    </w:pPr>
    <w:rPr>
      <w:rFonts w:ascii="Calibri" w:hAnsi="Calibri" w:cs="Times New Roman"/>
    </w:rPr>
  </w:style>
  <w:style w:type="paragraph" w:styleId="Heading4">
    <w:name w:val="heading 4"/>
    <w:basedOn w:val="Normal"/>
    <w:next w:val="Normal"/>
    <w:link w:val="Heading4Char"/>
    <w:uiPriority w:val="9"/>
    <w:semiHidden/>
    <w:unhideWhenUsed/>
    <w:qFormat/>
    <w:rsid w:val="00F25DF0"/>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A68"/>
    <w:pPr>
      <w:ind w:left="720"/>
      <w:contextualSpacing/>
    </w:pPr>
  </w:style>
  <w:style w:type="paragraph" w:styleId="BalloonText">
    <w:name w:val="Balloon Text"/>
    <w:basedOn w:val="Normal"/>
    <w:link w:val="BalloonTextChar"/>
    <w:uiPriority w:val="99"/>
    <w:semiHidden/>
    <w:unhideWhenUsed/>
    <w:rsid w:val="00C05F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5A"/>
    <w:rPr>
      <w:rFonts w:ascii="Segoe UI" w:hAnsi="Segoe UI" w:cs="Segoe UI"/>
      <w:sz w:val="18"/>
      <w:szCs w:val="18"/>
    </w:rPr>
  </w:style>
  <w:style w:type="character" w:styleId="CommentReference">
    <w:name w:val="annotation reference"/>
    <w:basedOn w:val="DefaultParagraphFont"/>
    <w:uiPriority w:val="99"/>
    <w:semiHidden/>
    <w:unhideWhenUsed/>
    <w:rsid w:val="00C05F5A"/>
    <w:rPr>
      <w:sz w:val="16"/>
      <w:szCs w:val="16"/>
    </w:rPr>
  </w:style>
  <w:style w:type="paragraph" w:styleId="CommentText">
    <w:name w:val="annotation text"/>
    <w:basedOn w:val="Normal"/>
    <w:link w:val="CommentTextChar"/>
    <w:uiPriority w:val="99"/>
    <w:semiHidden/>
    <w:unhideWhenUsed/>
    <w:rsid w:val="00C05F5A"/>
    <w:rPr>
      <w:sz w:val="20"/>
      <w:szCs w:val="20"/>
    </w:rPr>
  </w:style>
  <w:style w:type="character" w:customStyle="1" w:styleId="CommentTextChar">
    <w:name w:val="Comment Text Char"/>
    <w:basedOn w:val="DefaultParagraphFont"/>
    <w:link w:val="CommentText"/>
    <w:uiPriority w:val="99"/>
    <w:semiHidden/>
    <w:rsid w:val="00C05F5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05F5A"/>
    <w:rPr>
      <w:b/>
      <w:bCs/>
    </w:rPr>
  </w:style>
  <w:style w:type="character" w:customStyle="1" w:styleId="CommentSubjectChar">
    <w:name w:val="Comment Subject Char"/>
    <w:basedOn w:val="CommentTextChar"/>
    <w:link w:val="CommentSubject"/>
    <w:uiPriority w:val="99"/>
    <w:semiHidden/>
    <w:rsid w:val="00C05F5A"/>
    <w:rPr>
      <w:rFonts w:ascii="Calibri" w:hAnsi="Calibri" w:cs="Times New Roman"/>
      <w:b/>
      <w:bCs/>
      <w:sz w:val="20"/>
      <w:szCs w:val="20"/>
    </w:rPr>
  </w:style>
  <w:style w:type="paragraph" w:styleId="Header">
    <w:name w:val="header"/>
    <w:basedOn w:val="Normal"/>
    <w:link w:val="HeaderChar"/>
    <w:uiPriority w:val="99"/>
    <w:unhideWhenUsed/>
    <w:rsid w:val="00620732"/>
    <w:pPr>
      <w:tabs>
        <w:tab w:val="center" w:pos="4513"/>
        <w:tab w:val="right" w:pos="9026"/>
      </w:tabs>
    </w:pPr>
  </w:style>
  <w:style w:type="character" w:customStyle="1" w:styleId="HeaderChar">
    <w:name w:val="Header Char"/>
    <w:basedOn w:val="DefaultParagraphFont"/>
    <w:link w:val="Header"/>
    <w:uiPriority w:val="99"/>
    <w:rsid w:val="00620732"/>
    <w:rPr>
      <w:rFonts w:ascii="Calibri" w:hAnsi="Calibri" w:cs="Times New Roman"/>
    </w:rPr>
  </w:style>
  <w:style w:type="paragraph" w:styleId="Footer">
    <w:name w:val="footer"/>
    <w:basedOn w:val="Normal"/>
    <w:link w:val="FooterChar"/>
    <w:uiPriority w:val="99"/>
    <w:unhideWhenUsed/>
    <w:rsid w:val="00620732"/>
    <w:pPr>
      <w:tabs>
        <w:tab w:val="center" w:pos="4513"/>
        <w:tab w:val="right" w:pos="9026"/>
      </w:tabs>
    </w:pPr>
  </w:style>
  <w:style w:type="character" w:customStyle="1" w:styleId="FooterChar">
    <w:name w:val="Footer Char"/>
    <w:basedOn w:val="DefaultParagraphFont"/>
    <w:link w:val="Footer"/>
    <w:uiPriority w:val="99"/>
    <w:rsid w:val="00620732"/>
    <w:rPr>
      <w:rFonts w:ascii="Calibri" w:hAnsi="Calibri" w:cs="Times New Roman"/>
    </w:rPr>
  </w:style>
  <w:style w:type="paragraph" w:styleId="Title">
    <w:name w:val="Title"/>
    <w:basedOn w:val="Normal"/>
    <w:link w:val="TitleChar"/>
    <w:qFormat/>
    <w:rsid w:val="00620732"/>
    <w:pPr>
      <w:jc w:val="center"/>
    </w:pPr>
    <w:rPr>
      <w:rFonts w:ascii="Arial" w:eastAsia="Times New Roman" w:hAnsi="Arial" w:cs="Arial"/>
      <w:b/>
      <w:sz w:val="24"/>
      <w:szCs w:val="24"/>
    </w:rPr>
  </w:style>
  <w:style w:type="character" w:customStyle="1" w:styleId="TitleChar">
    <w:name w:val="Title Char"/>
    <w:basedOn w:val="DefaultParagraphFont"/>
    <w:link w:val="Title"/>
    <w:rsid w:val="00620732"/>
    <w:rPr>
      <w:rFonts w:ascii="Arial" w:eastAsia="Times New Roman" w:hAnsi="Arial" w:cs="Arial"/>
      <w:b/>
      <w:sz w:val="24"/>
      <w:szCs w:val="24"/>
    </w:rPr>
  </w:style>
  <w:style w:type="character" w:styleId="Hyperlink">
    <w:name w:val="Hyperlink"/>
    <w:basedOn w:val="DefaultParagraphFont"/>
    <w:uiPriority w:val="99"/>
    <w:unhideWhenUsed/>
    <w:rsid w:val="007657EA"/>
    <w:rPr>
      <w:color w:val="0000FF" w:themeColor="hyperlink"/>
      <w:u w:val="single"/>
    </w:rPr>
  </w:style>
  <w:style w:type="character" w:styleId="UnresolvedMention">
    <w:name w:val="Unresolved Mention"/>
    <w:basedOn w:val="DefaultParagraphFont"/>
    <w:uiPriority w:val="99"/>
    <w:semiHidden/>
    <w:unhideWhenUsed/>
    <w:rsid w:val="007657EA"/>
    <w:rPr>
      <w:color w:val="605E5C"/>
      <w:shd w:val="clear" w:color="auto" w:fill="E1DFDD"/>
    </w:rPr>
  </w:style>
  <w:style w:type="paragraph" w:customStyle="1" w:styleId="Default">
    <w:name w:val="Default"/>
    <w:rsid w:val="00AB0221"/>
    <w:pPr>
      <w:autoSpaceDE w:val="0"/>
      <w:autoSpaceDN w:val="0"/>
      <w:adjustRightInd w:val="0"/>
      <w:spacing w:after="0" w:line="240" w:lineRule="auto"/>
    </w:pPr>
    <w:rPr>
      <w:rFonts w:ascii="Arial" w:eastAsiaTheme="minorEastAsia" w:hAnsi="Arial" w:cs="Arial"/>
      <w:color w:val="000000"/>
      <w:sz w:val="24"/>
      <w:szCs w:val="24"/>
      <w:lang w:val="en-US"/>
    </w:rPr>
  </w:style>
  <w:style w:type="character" w:customStyle="1" w:styleId="02subheadtextArial145ptBoldCustomColorRGB10818713">
    <w:name w:val="02 subhead text Arial 14.5 pt Bold Custom Color(RGB(10818713))"/>
    <w:basedOn w:val="DefaultParagraphFont"/>
    <w:qFormat/>
    <w:rsid w:val="00AB0221"/>
    <w:rPr>
      <w:rFonts w:ascii="Arial" w:hAnsi="Arial" w:cs="Arial" w:hint="default"/>
      <w:b/>
      <w:bCs/>
      <w:color w:val="6CBB0D"/>
      <w:sz w:val="29"/>
    </w:rPr>
  </w:style>
  <w:style w:type="table" w:styleId="TableGrid">
    <w:name w:val="Table Grid"/>
    <w:basedOn w:val="TableNormal"/>
    <w:uiPriority w:val="59"/>
    <w:rsid w:val="00AB022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25DF0"/>
    <w:rPr>
      <w:rFonts w:asciiTheme="majorHAnsi" w:eastAsiaTheme="majorEastAsia" w:hAnsiTheme="majorHAnsi" w:cstheme="majorBidi"/>
      <w:i/>
      <w:iCs/>
      <w:color w:val="365F91" w:themeColor="accent1" w:themeShade="BF"/>
      <w:sz w:val="24"/>
      <w:szCs w:val="24"/>
    </w:rPr>
  </w:style>
  <w:style w:type="paragraph" w:customStyle="1" w:styleId="01NacrotitlepageheadStyleArial47ptBoldCustomColorRGB10818713LeftLine">
    <w:name w:val="01 Nacro title page head Style Arial 47 pt Bold Custom Color(RGB(10818713)) Left Line..."/>
    <w:basedOn w:val="Normal"/>
    <w:qFormat/>
    <w:rsid w:val="00F25DF0"/>
    <w:pPr>
      <w:spacing w:before="20" w:after="20" w:line="216" w:lineRule="auto"/>
    </w:pPr>
    <w:rPr>
      <w:rFonts w:ascii="Arial" w:eastAsia="Times New Roman" w:hAnsi="Arial"/>
      <w:b/>
      <w:bCs/>
      <w:color w:val="6CBB0D"/>
      <w:sz w:val="94"/>
      <w:szCs w:val="20"/>
      <w:lang w:eastAsia="zh-CN"/>
    </w:rPr>
  </w:style>
  <w:style w:type="paragraph" w:styleId="NormalWeb">
    <w:name w:val="Normal (Web)"/>
    <w:basedOn w:val="Normal"/>
    <w:uiPriority w:val="99"/>
    <w:unhideWhenUsed/>
    <w:rsid w:val="00F25DF0"/>
    <w:pPr>
      <w:spacing w:before="48" w:after="240"/>
    </w:pPr>
    <w:rPr>
      <w:rFonts w:ascii="Times New Roman" w:eastAsia="Times New Roman" w:hAnsi="Times New Roman"/>
      <w:sz w:val="24"/>
      <w:szCs w:val="24"/>
      <w:lang w:val="en-US"/>
    </w:rPr>
  </w:style>
  <w:style w:type="table" w:customStyle="1" w:styleId="TableGrid1">
    <w:name w:val="Table Grid1"/>
    <w:basedOn w:val="TableNormal"/>
    <w:next w:val="TableGrid"/>
    <w:uiPriority w:val="59"/>
    <w:rsid w:val="00F25DF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5DF0"/>
    <w:rPr>
      <w:b/>
      <w:bCs/>
    </w:rPr>
  </w:style>
  <w:style w:type="paragraph" w:customStyle="1" w:styleId="Pa4">
    <w:name w:val="Pa4"/>
    <w:basedOn w:val="Normal"/>
    <w:next w:val="Normal"/>
    <w:uiPriority w:val="99"/>
    <w:rsid w:val="002136F1"/>
    <w:pPr>
      <w:autoSpaceDE w:val="0"/>
      <w:autoSpaceDN w:val="0"/>
      <w:adjustRightInd w:val="0"/>
      <w:spacing w:line="211" w:lineRule="atLeast"/>
    </w:pPr>
    <w:rPr>
      <w:rFonts w:ascii="DINPro-Medium" w:hAnsi="DINPro-Medium" w:cstheme="minorBidi"/>
      <w:sz w:val="24"/>
      <w:szCs w:val="24"/>
    </w:rPr>
  </w:style>
  <w:style w:type="paragraph" w:customStyle="1" w:styleId="Pa16">
    <w:name w:val="Pa16"/>
    <w:basedOn w:val="Normal"/>
    <w:next w:val="Normal"/>
    <w:uiPriority w:val="99"/>
    <w:rsid w:val="002136F1"/>
    <w:pPr>
      <w:autoSpaceDE w:val="0"/>
      <w:autoSpaceDN w:val="0"/>
      <w:adjustRightInd w:val="0"/>
      <w:spacing w:line="211" w:lineRule="atLeast"/>
    </w:pPr>
    <w:rPr>
      <w:rFonts w:ascii="DINPro-Medium" w:hAnsi="DINPro-Medium" w:cstheme="minorBidi"/>
      <w:sz w:val="24"/>
      <w:szCs w:val="24"/>
    </w:rPr>
  </w:style>
  <w:style w:type="paragraph" w:styleId="NoSpacing">
    <w:name w:val="No Spacing"/>
    <w:uiPriority w:val="1"/>
    <w:qFormat/>
    <w:rsid w:val="00261606"/>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3210">
      <w:bodyDiv w:val="1"/>
      <w:marLeft w:val="0"/>
      <w:marRight w:val="0"/>
      <w:marTop w:val="0"/>
      <w:marBottom w:val="0"/>
      <w:divBdr>
        <w:top w:val="none" w:sz="0" w:space="0" w:color="auto"/>
        <w:left w:val="none" w:sz="0" w:space="0" w:color="auto"/>
        <w:bottom w:val="none" w:sz="0" w:space="0" w:color="auto"/>
        <w:right w:val="none" w:sz="0" w:space="0" w:color="auto"/>
      </w:divBdr>
    </w:div>
    <w:div w:id="591351307">
      <w:bodyDiv w:val="1"/>
      <w:marLeft w:val="0"/>
      <w:marRight w:val="0"/>
      <w:marTop w:val="0"/>
      <w:marBottom w:val="0"/>
      <w:divBdr>
        <w:top w:val="none" w:sz="0" w:space="0" w:color="auto"/>
        <w:left w:val="none" w:sz="0" w:space="0" w:color="auto"/>
        <w:bottom w:val="none" w:sz="0" w:space="0" w:color="auto"/>
        <w:right w:val="none" w:sz="0" w:space="0" w:color="auto"/>
      </w:divBdr>
    </w:div>
    <w:div w:id="779950733">
      <w:bodyDiv w:val="1"/>
      <w:marLeft w:val="0"/>
      <w:marRight w:val="0"/>
      <w:marTop w:val="0"/>
      <w:marBottom w:val="0"/>
      <w:divBdr>
        <w:top w:val="none" w:sz="0" w:space="0" w:color="auto"/>
        <w:left w:val="none" w:sz="0" w:space="0" w:color="auto"/>
        <w:bottom w:val="none" w:sz="0" w:space="0" w:color="auto"/>
        <w:right w:val="none" w:sz="0" w:space="0" w:color="auto"/>
      </w:divBdr>
    </w:div>
    <w:div w:id="1542742468">
      <w:bodyDiv w:val="1"/>
      <w:marLeft w:val="0"/>
      <w:marRight w:val="0"/>
      <w:marTop w:val="0"/>
      <w:marBottom w:val="0"/>
      <w:divBdr>
        <w:top w:val="none" w:sz="0" w:space="0" w:color="auto"/>
        <w:left w:val="none" w:sz="0" w:space="0" w:color="auto"/>
        <w:bottom w:val="none" w:sz="0" w:space="0" w:color="auto"/>
        <w:right w:val="none" w:sz="0" w:space="0" w:color="auto"/>
      </w:divBdr>
    </w:div>
    <w:div w:id="19274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Nacro</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Jennings</dc:creator>
  <cp:lastModifiedBy>Andrew Hodges</cp:lastModifiedBy>
  <cp:revision>2</cp:revision>
  <dcterms:created xsi:type="dcterms:W3CDTF">2023-07-21T13:13:00Z</dcterms:created>
  <dcterms:modified xsi:type="dcterms:W3CDTF">2023-07-21T13:13:00Z</dcterms:modified>
</cp:coreProperties>
</file>